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ИЗМИСЛЕН ПРИМЕР - служебна бележка за проверка на цитати.</w:t>
      </w:r>
    </w:p>
    <w:p>
      <w:r>
        <w:t>Длъжникът, който не изпълни точно задължението си, отговаря за обезщетение съгласно чл. 79, ал. 1 от Закона за задълженията и договорите.</w:t>
      </w:r>
    </w:p>
    <w:p>
      <w:r>
        <w:t>Рекламата към потребителите се урежда в чл. 33 от Закона за защита на потребителите.</w:t>
      </w:r>
    </w:p>
    <w:p>
      <w:r>
        <w:t>Съгласно чл. 999 от Закона за задълженията и договорите наемателят дължи двоен депозит.</w:t>
      </w:r>
    </w:p>
    <w:p>
      <w:r>
        <w:t>Съгласно чл. 45 от Закона за задълженията и договорите наемателят е длъжен да внесе депозит.</w:t>
      </w:r>
    </w:p>
    <w:p>
      <w:r>
        <w:t>Вземането по договора вероятно може да се смята за погасено по смисъла на чл. 110 от Закона за задълженията и договорите, в зависимост от обстоятелствата.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