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Отчет към примерния пакет</w:t>
      </w:r>
    </w:p>
    <w:p>
      <w:r>
        <w:t>Документът е измислен; страните не съществуват. Пакетът показва как работи проверката и редакцията - не е правен съвет.</w:t>
      </w:r>
    </w:p>
    <w:p>
      <w:pPr>
        <w:pStyle w:val="Heading2"/>
      </w:pPr>
      <w:r>
        <w:t>Допускания</w:t>
      </w:r>
    </w:p>
    <w:p>
      <w:pPr>
        <w:pStyle w:val="ListBullet"/>
      </w:pPr>
      <w:r>
        <w:t>Представлявана страна: Изпълнителят - както е посочено в примерния анализ, от чиито находки тръгва пакетът.</w:t>
      </w:r>
    </w:p>
    <w:p>
      <w:pPr>
        <w:pStyle w:val="ListBullet"/>
      </w:pPr>
      <w:r>
        <w:t>Формулировките на новите клаузи са пример за редакция, написан за този пакет по предложенията на анализа. Проследените промени са направени от същия механизъм, с който Pro редактира Word документи.</w:t>
      </w:r>
    </w:p>
    <w:p>
      <w:pPr>
        <w:pStyle w:val="ListBullet"/>
      </w:pPr>
      <w:r>
        <w:t>Броят промени не е оценка на качеството на договора или на проверката.</w:t>
      </w:r>
    </w:p>
    <w:p>
      <w:pPr>
        <w:pStyle w:val="Heading2"/>
      </w:pPr>
      <w:r>
        <w:t>Промени</w:t>
      </w:r>
    </w:p>
    <w:tbl>
      <w:tblPr>
        <w:tblW w:type="auto" w:w="0"/>
        <w:tblLook w:firstColumn="1" w:firstRow="1" w:lastColumn="0" w:lastRow="0" w:noHBand="0" w:noVBand="1" w:val="04A0"/>
      </w:tblPr>
      <w:tblGrid>
        <w:gridCol w:w="2160"/>
        <w:gridCol w:w="2160"/>
        <w:gridCol w:w="2160"/>
        <w:gridCol w:w="2160"/>
      </w:tblGrid>
      <w:tr>
        <w:tc>
          <w:tcPr>
            <w:tcW w:type="dxa" w:w="2160"/>
          </w:tcPr>
          <w:p>
            <w:r>
              <w:t>Беше</w:t>
            </w:r>
          </w:p>
        </w:tc>
        <w:tc>
          <w:tcPr>
            <w:tcW w:type="dxa" w:w="2160"/>
          </w:tcPr>
          <w:p>
            <w:r>
              <w:t>Става</w:t>
            </w:r>
          </w:p>
        </w:tc>
        <w:tc>
          <w:tcPr>
            <w:tcW w:type="dxa" w:w="2160"/>
          </w:tcPr>
          <w:p>
            <w:r>
              <w:t>Разпоредба</w:t>
            </w:r>
          </w:p>
        </w:tc>
        <w:tc>
          <w:tcPr>
            <w:tcW w:type="dxa" w:w="2160"/>
          </w:tcPr>
          <w:p>
            <w:r>
              <w:t>Защо</w:t>
            </w:r>
          </w:p>
        </w:tc>
      </w:tr>
      <w:tr>
        <w:tc>
          <w:tcPr>
            <w:tcW w:type="dxa" w:w="2160"/>
          </w:tcPr>
          <w:p>
            <w:r>
              <w:t>Чл. 2. Срокът за изпълнение е 90 календарни дни от подписването.</w:t>
            </w:r>
          </w:p>
        </w:tc>
        <w:tc>
          <w:tcPr>
            <w:tcW w:type="dxa" w:w="2160"/>
          </w:tcPr>
          <w:p>
            <w:r>
              <w:t>Чл. 2. Срокът за изпълнение е 90 календарни дни от постъпването на аванса по чл. 3.</w:t>
            </w:r>
          </w:p>
        </w:tc>
        <w:tc>
          <w:tcPr>
            <w:tcW w:type="dxa" w:w="2160"/>
          </w:tcPr>
          <w:p>
            <w:r>
              <w:t>-</w:t>
            </w:r>
          </w:p>
        </w:tc>
        <w:tc>
          <w:tcPr>
            <w:tcW w:type="dxa" w:w="2160"/>
          </w:tcPr>
          <w:p>
            <w:r>
              <w:t>Следва от аванса: срокът тече от плащането, иначе забавен аванс би скъсил времето, в което Изпълнителят трябва да свърши работата.</w:t>
            </w:r>
          </w:p>
        </w:tc>
      </w:tr>
      <w:tr>
        <w:tc>
          <w:tcPr>
            <w:tcW w:type="dxa" w:w="2160"/>
          </w:tcPr>
          <w:p>
            <w:r>
              <w:t>Чл. 3. Възнаграждението е 12 000 евро без ДДС, платимо след приемане на цялата работа.</w:t>
            </w:r>
          </w:p>
        </w:tc>
        <w:tc>
          <w:tcPr>
            <w:tcW w:type="dxa" w:w="2160"/>
          </w:tcPr>
          <w:p>
            <w:r>
              <w:t>Чл. 3. Възнаграждението е 12 000 евро без ДДС и се плаща на три части: 30 % аванс в срок от 5 дни от подписването, 40 % при приемане на междинния резултат, определен в Приложение № 1, и 30 % след приемане на цялата работа.</w:t>
            </w:r>
          </w:p>
        </w:tc>
        <w:tc>
          <w:tcPr>
            <w:tcW w:type="dxa" w:w="2160"/>
          </w:tcPr>
          <w:p>
            <w:r>
              <w:t>-</w:t>
            </w:r>
          </w:p>
        </w:tc>
        <w:tc>
          <w:tcPr>
            <w:tcW w:type="dxa" w:w="2160"/>
          </w:tcPr>
          <w:p>
            <w:r>
              <w:t>Търговски риск, не правно правило: при 90-дневна разработка и плащане само накрая Изпълнителят финансира цялата работа за своя сметка. Законът не забранява такава уговорка; за Изпълнителя е препоръчително да договори аванс или поетапни плащания срещу междинни резултати. Размерите 30 % / 40 % / 30 % са пример.</w:t>
            </w:r>
          </w:p>
        </w:tc>
      </w:tr>
      <w:tr>
        <w:tc>
          <w:tcPr>
            <w:tcW w:type="dxa" w:w="2160"/>
          </w:tcPr>
          <w:p>
            <w:r>
              <w:t>Чл. 4. Авансово плащане не се дължи.</w:t>
            </w:r>
          </w:p>
        </w:tc>
        <w:tc>
          <w:tcPr>
            <w:tcW w:type="dxa" w:w="2160"/>
          </w:tcPr>
          <w:p>
            <w:r>
              <w:t>Чл. 4. Изпълнителят не е длъжен да започне работа преди постъпването на аванса по чл. 3.</w:t>
            </w:r>
          </w:p>
        </w:tc>
        <w:tc>
          <w:tcPr>
            <w:tcW w:type="dxa" w:w="2160"/>
          </w:tcPr>
          <w:p>
            <w:r>
              <w:t>-</w:t>
            </w:r>
          </w:p>
        </w:tc>
        <w:tc>
          <w:tcPr>
            <w:tcW w:type="dxa" w:w="2160"/>
          </w:tcPr>
          <w:p>
            <w:r>
              <w:t>Заменя изричния отказ от аванс; заедно с чл. 2 урежда какво става, ако авансът закъснее.</w:t>
            </w:r>
          </w:p>
        </w:tc>
      </w:tr>
      <w:tr>
        <w:tc>
          <w:tcPr>
            <w:tcW w:type="dxa" w:w="2160"/>
          </w:tcPr>
          <w:p>
            <w:r>
              <w:t>Чл. 5. Работата се смята за приета само след писмено одобрение от Възложителя, което той дава по свое усмотрение.</w:t>
            </w:r>
          </w:p>
        </w:tc>
        <w:tc>
          <w:tcPr>
            <w:tcW w:type="dxa" w:w="2160"/>
          </w:tcPr>
          <w:p>
            <w:r>
              <w:t>Чл. 5. Работата се смята за приета, ако в 10-дневен срок от предаването ѝ Възложителят не направи писмени възражения за несъответствия с техническото задание.</w:t>
            </w:r>
          </w:p>
        </w:tc>
        <w:tc>
          <w:tcPr>
            <w:tcW w:type="dxa" w:w="2160"/>
          </w:tcPr>
          <w:p>
            <w:r>
              <w:t>ЗЗД, чл. 264</w:t>
            </w:r>
          </w:p>
        </w:tc>
        <w:tc>
          <w:tcPr>
            <w:tcW w:type="dxa" w:w="2160"/>
          </w:tcPr>
          <w:p>
            <w:r>
              <w:t>Поръчващият е длъжен да приеме извършената съгласно договора работа и да направи възраженията си при приемането; ако не ги направи, работата се счита приета. Приемането „по свое усмотрение“ разминава договора с това правило.</w:t>
            </w:r>
          </w:p>
        </w:tc>
      </w:tr>
      <w:tr>
        <w:tc>
          <w:tcPr>
            <w:tcW w:type="dxa" w:w="2160"/>
          </w:tcPr>
          <w:p>
            <w:r>
              <w:t>Чл. 6. Възложителят не е длъжен да мотивира отказа си да приеме работата.</w:t>
            </w:r>
          </w:p>
        </w:tc>
        <w:tc>
          <w:tcPr>
            <w:tcW w:type="dxa" w:w="2160"/>
          </w:tcPr>
          <w:p>
            <w:r>
              <w:t>Чл. 6. Отказът да се приеме работата се прави писмено и посочва конкретните несъответствия с техническото задание; Изпълнителят получава разумен срок да ги отстрани.</w:t>
            </w:r>
          </w:p>
        </w:tc>
        <w:tc>
          <w:tcPr>
            <w:tcW w:type="dxa" w:w="2160"/>
          </w:tcPr>
          <w:p>
            <w:r>
              <w:t>ЗЗД, чл. 264</w:t>
            </w:r>
          </w:p>
        </w:tc>
        <w:tc>
          <w:tcPr>
            <w:tcW w:type="dxa" w:w="2160"/>
          </w:tcPr>
          <w:p>
            <w:r>
              <w:t>Възраженията при приемането са за неправилно изпълнение - немотивиран отказ не позволява да се разбере какво да се отстрани.</w:t>
            </w:r>
          </w:p>
        </w:tc>
      </w:tr>
      <w:tr>
        <w:tc>
          <w:tcPr>
            <w:tcW w:type="dxa" w:w="2160"/>
          </w:tcPr>
          <w:p>
            <w:r>
              <w:t>Чл. 7. При забава Изпълнителят дължи неустойка в размер на 1 % от цената за всеки ден забава, без горна граница.</w:t>
            </w:r>
          </w:p>
        </w:tc>
        <w:tc>
          <w:tcPr>
            <w:tcW w:type="dxa" w:w="2160"/>
          </w:tcPr>
          <w:p>
            <w:r>
              <w:t>Чл. 7. При забава Изпълнителят дължи неустойка в размер на 0,1 % от цената за всеки ден забава, но общо не повече от 10 % от цената.</w:t>
            </w:r>
          </w:p>
        </w:tc>
        <w:tc>
          <w:tcPr>
            <w:tcW w:type="dxa" w:w="2160"/>
          </w:tcPr>
          <w:p>
            <w:r>
              <w:t>ЗЗД, чл. 92; ТЗ, чл. 286 и чл. 309</w:t>
            </w:r>
          </w:p>
        </w:tc>
        <w:tc>
          <w:tcPr>
            <w:tcW w:type="dxa" w:w="2160"/>
          </w:tcPr>
          <w:p>
            <w:r>
              <w:t>И двете страни са търговци, а сделката е свързана с занятието им - търговска сделка (ТЗ, чл. 286). Между търговци неустойката не може да се намалява поради прекомерност (ТЗ, чл. 309), така че горната граница трябва да е в самия договор. Размерът 0,1 % / 10 % е пример, не правило.</w:t>
            </w:r>
          </w:p>
        </w:tc>
      </w:tr>
      <w:tr>
        <w:tc>
          <w:tcPr>
            <w:tcW w:type="dxa" w:w="2160"/>
          </w:tcPr>
          <w:p>
            <w:r>
              <w:t>Чл. 8. Възложителят не дължи неустойка при забава на плащането.</w:t>
            </w:r>
          </w:p>
        </w:tc>
        <w:tc>
          <w:tcPr>
            <w:tcW w:type="dxa" w:w="2160"/>
          </w:tcPr>
          <w:p>
            <w:r>
              <w:t>Чл. 8. При забава на плащането Възложителят дължи неустойка в размер на 0,1 % от дължимата сума за всеки ден забава, но общо не повече от 10 % от нея.</w:t>
            </w:r>
          </w:p>
        </w:tc>
        <w:tc>
          <w:tcPr>
            <w:tcW w:type="dxa" w:w="2160"/>
          </w:tcPr>
          <w:p>
            <w:r>
              <w:t>ЗЗД, чл. 92</w:t>
            </w:r>
          </w:p>
        </w:tc>
        <w:tc>
          <w:tcPr>
            <w:tcW w:type="dxa" w:w="2160"/>
          </w:tcPr>
          <w:p>
            <w:r>
              <w:t>Огледална отговорност вместо изрично освобождаване на едната страна. Размерът е пример.</w:t>
            </w:r>
          </w:p>
        </w:tc>
      </w:tr>
      <w:tr>
        <w:tc>
          <w:tcPr>
            <w:tcW w:type="dxa" w:w="2160"/>
          </w:tcPr>
          <w:p>
            <w:r>
              <w:t>Чл. 9. Възложителят може да прекрати договора по всяко време с писмено уведомление, без да дължи обезщетение за вече извършената работа.</w:t>
            </w:r>
          </w:p>
        </w:tc>
        <w:tc>
          <w:tcPr>
            <w:tcW w:type="dxa" w:w="2160"/>
          </w:tcPr>
          <w:p>
            <w:r>
              <w:t>Чл. 9. Възложителят може да се откаже от договора с писмено уведомление, като заплати на Изпълнителя направените разходи, извършената до момента работа и печалбата, която той би получил от приетата работа.</w:t>
            </w:r>
          </w:p>
        </w:tc>
        <w:tc>
          <w:tcPr>
            <w:tcW w:type="dxa" w:w="2160"/>
          </w:tcPr>
          <w:p>
            <w:r>
              <w:t>ЗЗД, чл. 268</w:t>
            </w:r>
          </w:p>
        </w:tc>
        <w:tc>
          <w:tcPr>
            <w:tcW w:type="dxa" w:w="2160"/>
          </w:tcPr>
          <w:p>
            <w:r>
              <w:t>Законът позволява на поръчващия да се откаже при основателни причини, но срещу заплащане на разходите, извършената работа и печалбата. Примерният анализ сочи чл. 267 - по-близката разпоредба е чл. 268.</w:t>
            </w:r>
          </w:p>
        </w:tc>
      </w:tr>
      <w:tr>
        <w:tc>
          <w:tcPr>
            <w:tcW w:type="dxa" w:w="2160"/>
          </w:tcPr>
          <w:p>
            <w:r>
              <w:t>Чл. 10. Изпълнителят няма право да прекрати договора преди предаване на работата.</w:t>
            </w:r>
          </w:p>
        </w:tc>
        <w:tc>
          <w:tcPr>
            <w:tcW w:type="dxa" w:w="2160"/>
          </w:tcPr>
          <w:p>
            <w:r>
              <w:t>Чл. 10. Изпълнителят може да развали договора, ако Възложителят не изпълни задължение по него, при условията на чл. 87 от Закона за задълженията и договорите.</w:t>
            </w:r>
          </w:p>
        </w:tc>
        <w:tc>
          <w:tcPr>
            <w:tcW w:type="dxa" w:w="2160"/>
          </w:tcPr>
          <w:p>
            <w:r>
              <w:t>ЗЗД, чл. 87</w:t>
            </w:r>
          </w:p>
        </w:tc>
        <w:tc>
          <w:tcPr>
            <w:tcW w:type="dxa" w:w="2160"/>
          </w:tcPr>
          <w:p>
            <w:r>
              <w:t>Клаузата лишаваше Изпълнителя от възможността да се освободи от договора дори когато Възложителят не плаща или не съдейства. Законът урежда правото на изправната страна да развали двустранен договор при виновно неизпълнение на другата - редакцията препраща към него, вместо да го изключва.</w:t>
            </w:r>
          </w:p>
        </w:tc>
      </w:tr>
      <w:tr>
        <w:tc>
          <w:tcPr>
            <w:tcW w:type="dxa" w:w="2160"/>
          </w:tcPr>
          <w:p>
            <w:r>
              <w:t>Чл. 11. Всички права върху резултата преминават върху Възложителя от момента на създаването им, независимо от плащането.</w:t>
            </w:r>
          </w:p>
        </w:tc>
        <w:tc>
          <w:tcPr>
            <w:tcW w:type="dxa" w:w="2160"/>
          </w:tcPr>
          <w:p>
            <w:r>
              <w:t>Чл. 11. Правата върху резултата преминават върху Възложителя след пълното заплащане на възнаграждението.</w:t>
            </w:r>
          </w:p>
        </w:tc>
        <w:tc>
          <w:tcPr>
            <w:tcW w:type="dxa" w:w="2160"/>
          </w:tcPr>
          <w:p>
            <w:r>
              <w:t>ЗАПСП, чл. 42</w:t>
            </w:r>
          </w:p>
        </w:tc>
        <w:tc>
          <w:tcPr>
            <w:tcW w:type="dxa" w:w="2160"/>
          </w:tcPr>
          <w:p>
            <w:r>
              <w:t>Авторското право върху произведение, създадено по поръчка, принадлежи на автора, освен ако договорът предвижда друго - затова клаузата е законна, но за Изпълнителя е изгодно преминаването да зависи от плащането.</w:t>
            </w:r>
          </w:p>
        </w:tc>
      </w:tr>
      <w:tr>
        <w:tc>
          <w:tcPr>
            <w:tcW w:type="dxa" w:w="2160"/>
          </w:tcPr>
          <w:p>
            <w:r>
              <w:t>Чл. 12. Всички спорове се решават от арбитраж, избран от Възложителя, решението на който е окончателно.</w:t>
            </w:r>
          </w:p>
        </w:tc>
        <w:tc>
          <w:tcPr>
            <w:tcW w:type="dxa" w:w="2160"/>
          </w:tcPr>
          <w:p>
            <w:r>
              <w:t>Чл. 12. Споровете между страните се решават от компетентния български съд.</w:t>
            </w:r>
          </w:p>
        </w:tc>
        <w:tc>
          <w:tcPr>
            <w:tcW w:type="dxa" w:w="2160"/>
          </w:tcPr>
          <w:p>
            <w:r>
              <w:t>-</w:t>
            </w:r>
          </w:p>
        </w:tc>
        <w:tc>
          <w:tcPr>
            <w:tcW w:type="dxa" w:w="2160"/>
          </w:tcPr>
          <w:p>
            <w:r>
              <w:t>Без позоваване на разпоредба: изборът на решаващ орган само от едната страна е предмет на преценка, не на пряко законово правило. Съдът е един от вариантите, които примерният анализ предлага; институционален арбитраж с равен избор на арбитри е другият.</w:t>
            </w:r>
          </w:p>
        </w:tc>
      </w:tr>
    </w:tbl>
    <w:p>
      <w:pPr>
        <w:pStyle w:val="Heading2"/>
      </w:pPr>
      <w:r>
        <w:t>Без промяна</w:t>
      </w:r>
    </w:p>
    <w:p>
      <w:pPr>
        <w:pStyle w:val="ListBullet"/>
      </w:pPr>
      <w:r>
        <w:t>Чл. 1: Предмет - ясен и обичаен.</w:t>
      </w:r>
    </w:p>
    <w:p>
      <w:pPr>
        <w:pStyle w:val="ListBullet"/>
      </w:pPr>
      <w:r>
        <w:t>Чл. 13 и Чл. 14: Приложимо право и екземпляри - обичайни.</w:t>
      </w:r>
    </w:p>
    <w:p>
      <w:pPr>
        <w:pStyle w:val="Heading2"/>
      </w:pPr>
      <w:r>
        <w:t>Отворени въпроси</w:t>
      </w:r>
    </w:p>
    <w:p>
      <w:pPr>
        <w:pStyle w:val="ListBullet"/>
      </w:pPr>
      <w:r>
        <w:t>Чл. 9: законът говори за отказ „ако има основателни причини“ (ЗЗД, чл. 268). Дали уговорката „по всяко време“ е допустима, не е преценено тук.</w:t>
      </w:r>
    </w:p>
    <w:p>
      <w:pPr>
        <w:pStyle w:val="ListBullet"/>
      </w:pPr>
      <w:r>
        <w:t>Промените в чл. 2, 3, 4 и 10 са добавени на 23.09.2026 след получена обратна връзка по пакета; примерният анализ не ги отбелязва.</w:t>
      </w:r>
    </w:p>
    <w:p>
      <w:pPr>
        <w:pStyle w:val="ListBullet"/>
      </w:pPr>
      <w:r>
        <w:t>Извадките, намерени от търсенето за примерния анализ, включват и неотносими разпоредби (напр. чл. 26 от Закона за защита на потребителите). В този отчет са посочени само разпоредбите, прочетени и сверени ръчно.</w:t>
      </w:r>
    </w:p>
    <w:p>
      <w:pPr>
        <w:pStyle w:val="Heading2"/>
      </w:pPr>
      <w:r>
        <w:t>Източници</w:t>
      </w:r>
    </w:p>
    <w:p>
      <w:pPr>
        <w:pStyle w:val="ListBullet"/>
      </w:pPr>
      <w:r>
        <w:t>Закон за задълженията и договорите - чл. 87, 92, 264, 268</w:t>
      </w:r>
    </w:p>
    <w:p>
      <w:pPr>
        <w:pStyle w:val="ListBullet"/>
      </w:pPr>
      <w:r>
        <w:t>Търговски закон - чл. 286, 309</w:t>
      </w:r>
    </w:p>
    <w:p>
      <w:pPr>
        <w:pStyle w:val="ListBullet"/>
      </w:pPr>
      <w:r>
        <w:t>Закон за авторското право и сродните му права - чл. 42</w:t>
      </w:r>
    </w:p>
    <w:p>
      <w:r>
        <w:t>Разпоредбите са прочетени в текстовете на законите на 23.09.2026 г. Приложимостта им към конкретен случай изисква преценка.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Application>Питай законите</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Примерен, измислен документ</dc:title>
  <dc:subject/>
  <dc:creator/>
  <cp:keywords/>
  <dc:description/>
  <cp:lastModifiedBy/>
  <cp:revision>1</cp:revision>
  <dcterms:created xsi:type="dcterms:W3CDTF">2026-09-23T00:00:00Z</dcterms:created>
  <dcterms:modified xsi:type="dcterms:W3CDTF">2026-09-23T00:00:00Z</dcterms:modified>
  <cp:category/>
  <dc:identifier/>
  <cp:contentStatus/>
</cp:coreProperties>
</file>